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38FF8" w14:textId="2D74FAFA" w:rsidR="001C029B" w:rsidRDefault="001C029B" w:rsidP="001C029B">
      <w:pPr>
        <w:jc w:val="center"/>
        <w:rPr>
          <w:b/>
          <w:bCs/>
        </w:rPr>
      </w:pPr>
      <w:r>
        <w:rPr>
          <w:b/>
          <w:bCs/>
        </w:rPr>
        <w:t xml:space="preserve">İBG </w:t>
      </w:r>
      <w:proofErr w:type="gramStart"/>
      <w:r>
        <w:rPr>
          <w:b/>
          <w:bCs/>
        </w:rPr>
        <w:t>ENSTİTÜSÜ  ÖNERİLER</w:t>
      </w:r>
      <w:proofErr w:type="gramEnd"/>
    </w:p>
    <w:p w14:paraId="5A178085" w14:textId="05EE73A2" w:rsidR="00F237C2" w:rsidRPr="00B62F26" w:rsidRDefault="00F237C2">
      <w:pPr>
        <w:rPr>
          <w:b/>
          <w:bCs/>
          <w:i/>
          <w:iCs/>
        </w:rPr>
      </w:pPr>
      <w:r w:rsidRPr="00B62F26">
        <w:rPr>
          <w:b/>
          <w:bCs/>
          <w:i/>
          <w:iCs/>
        </w:rPr>
        <w:t>B.1.2. Programın ders dağılım dengesi</w:t>
      </w:r>
      <w:r w:rsidR="001C029B" w:rsidRPr="00B62F26">
        <w:rPr>
          <w:b/>
          <w:bCs/>
          <w:i/>
          <w:iCs/>
        </w:rPr>
        <w:t xml:space="preserve"> </w:t>
      </w:r>
    </w:p>
    <w:p w14:paraId="27D6C407" w14:textId="6AE1650A" w:rsidR="001C029B" w:rsidRPr="00B62F26" w:rsidRDefault="00361FEE">
      <w:pPr>
        <w:rPr>
          <w:i/>
          <w:iCs/>
        </w:rPr>
      </w:pPr>
      <w:proofErr w:type="gramStart"/>
      <w:r w:rsidRPr="00B62F26">
        <w:rPr>
          <w:i/>
          <w:iCs/>
        </w:rPr>
        <w:t>( 2</w:t>
      </w:r>
      <w:proofErr w:type="gramEnd"/>
      <w:r w:rsidRPr="00B62F26">
        <w:rPr>
          <w:i/>
          <w:iCs/>
        </w:rPr>
        <w:t xml:space="preserve"> OD4) Enstitü Ders dağılımları ektedir.</w:t>
      </w:r>
    </w:p>
    <w:p w14:paraId="16AEBDC8" w14:textId="62F3B678" w:rsidR="00F237C2" w:rsidRPr="00B62F26" w:rsidRDefault="00F237C2">
      <w:pPr>
        <w:rPr>
          <w:b/>
          <w:bCs/>
          <w:i/>
          <w:iCs/>
        </w:rPr>
      </w:pPr>
      <w:r w:rsidRPr="00B62F26">
        <w:rPr>
          <w:b/>
          <w:bCs/>
          <w:i/>
          <w:iCs/>
        </w:rPr>
        <w:t>B.1.5 Programların izlenmesi ve güncellenmesi</w:t>
      </w:r>
    </w:p>
    <w:p w14:paraId="3AABFA2D" w14:textId="2850CF9E" w:rsidR="001C029B" w:rsidRPr="00B62F26" w:rsidRDefault="00361FEE">
      <w:pPr>
        <w:rPr>
          <w:i/>
          <w:iCs/>
        </w:rPr>
      </w:pPr>
      <w:r w:rsidRPr="00B62F26">
        <w:rPr>
          <w:i/>
          <w:iCs/>
        </w:rPr>
        <w:t xml:space="preserve"> (2 OD1) Senato Karar Örnekleri </w:t>
      </w:r>
      <w:r w:rsidR="003A6C20" w:rsidRPr="00B62F26">
        <w:rPr>
          <w:i/>
          <w:iCs/>
        </w:rPr>
        <w:t>ektedir.</w:t>
      </w:r>
    </w:p>
    <w:p w14:paraId="0618E725" w14:textId="79D07D8B" w:rsidR="00F237C2" w:rsidRPr="00B62F26" w:rsidRDefault="00F237C2">
      <w:pPr>
        <w:rPr>
          <w:b/>
          <w:bCs/>
          <w:i/>
          <w:iCs/>
        </w:rPr>
      </w:pPr>
      <w:r w:rsidRPr="00B62F26">
        <w:rPr>
          <w:b/>
          <w:bCs/>
          <w:i/>
          <w:iCs/>
        </w:rPr>
        <w:t>B.3.1. Öğrenme ortam ve kaynakları</w:t>
      </w:r>
    </w:p>
    <w:p w14:paraId="4E6D4797" w14:textId="4F79BA0C" w:rsidR="001C029B" w:rsidRPr="00B62F26" w:rsidRDefault="003A6C20">
      <w:pPr>
        <w:rPr>
          <w:i/>
          <w:iCs/>
        </w:rPr>
      </w:pPr>
      <w:r w:rsidRPr="00B62F26">
        <w:rPr>
          <w:i/>
          <w:iCs/>
        </w:rPr>
        <w:t xml:space="preserve">(2 OD5) </w:t>
      </w:r>
      <w:proofErr w:type="spellStart"/>
      <w:r w:rsidR="00923F7E" w:rsidRPr="00B62F26">
        <w:rPr>
          <w:i/>
          <w:iCs/>
        </w:rPr>
        <w:t>Biorender</w:t>
      </w:r>
      <w:proofErr w:type="spellEnd"/>
      <w:r w:rsidR="00923F7E" w:rsidRPr="00B62F26">
        <w:rPr>
          <w:i/>
          <w:iCs/>
        </w:rPr>
        <w:t xml:space="preserve"> </w:t>
      </w:r>
      <w:r w:rsidRPr="00B62F26">
        <w:rPr>
          <w:i/>
          <w:iCs/>
        </w:rPr>
        <w:t xml:space="preserve">Bilgisayar programı </w:t>
      </w:r>
      <w:r w:rsidR="001C029B" w:rsidRPr="00B62F26">
        <w:rPr>
          <w:i/>
          <w:iCs/>
        </w:rPr>
        <w:t>Ekte yer almaktadır.</w:t>
      </w:r>
    </w:p>
    <w:p w14:paraId="2FB0870D" w14:textId="4522E7C8" w:rsidR="00F237C2" w:rsidRPr="00B62F26" w:rsidRDefault="00F237C2">
      <w:pPr>
        <w:rPr>
          <w:b/>
          <w:bCs/>
          <w:i/>
          <w:iCs/>
        </w:rPr>
      </w:pPr>
      <w:r w:rsidRPr="00B62F26">
        <w:rPr>
          <w:b/>
          <w:bCs/>
          <w:i/>
          <w:iCs/>
        </w:rPr>
        <w:t>B.3.4. Dezavantajlı gruplar</w:t>
      </w:r>
    </w:p>
    <w:p w14:paraId="6722CEBA" w14:textId="235D599B" w:rsidR="001C029B" w:rsidRPr="00B62F26" w:rsidRDefault="003A6C20">
      <w:pPr>
        <w:rPr>
          <w:i/>
          <w:iCs/>
        </w:rPr>
      </w:pPr>
      <w:r w:rsidRPr="00B62F26">
        <w:rPr>
          <w:i/>
          <w:iCs/>
        </w:rPr>
        <w:t xml:space="preserve">(8 OD4) Etkinlikler </w:t>
      </w:r>
      <w:r w:rsidR="001C029B" w:rsidRPr="00B62F26">
        <w:rPr>
          <w:i/>
          <w:iCs/>
        </w:rPr>
        <w:t>Ekte yer almaktadır.</w:t>
      </w:r>
    </w:p>
    <w:p w14:paraId="68878958" w14:textId="4837317B" w:rsidR="000066A1" w:rsidRPr="00B62F26" w:rsidRDefault="000066A1">
      <w:pPr>
        <w:rPr>
          <w:b/>
          <w:bCs/>
          <w:i/>
          <w:iCs/>
        </w:rPr>
      </w:pPr>
      <w:r w:rsidRPr="00B62F26">
        <w:rPr>
          <w:b/>
          <w:bCs/>
          <w:i/>
          <w:iCs/>
        </w:rPr>
        <w:t>B.4.1. Atama, yükseltme ve görevlendirme kriterleri</w:t>
      </w:r>
    </w:p>
    <w:p w14:paraId="2F57D564" w14:textId="0285C809" w:rsidR="000066A1" w:rsidRDefault="000066A1" w:rsidP="00671AA4">
      <w:pPr>
        <w:jc w:val="both"/>
      </w:pPr>
      <w:r>
        <w:t>“Kanun’un Ek 34’üncü maddesi uyarınca ise devlet yükseköğretim kurumlarında doktora sonrası sözleşmeli araştırmacı istihdam edilebilmesine imkân tanınmıştır. Söz konusu düzenlemeler, üniversitelerde araştırma kapasitesinin artırılması ve nitelikli akademik insan kaynağının güçlendirilmesine yönelik yapısal araçlar olarak değerlendirilmektedir. Bu kapsamda Üniversitemizde, 2024–2025 döneminde toplam 7 nitelikli araştırmacı kısmi zamanlı olarak görevlendirilmiştir. Söz konusu görevlendirmelerin 5’i 2024 yılında (1 kişi Tıp Fakültesi, 4 kişi Mühendislik Fakültesi), 2’si ise 2025 yılında (Mühendislik Fakültesi) gerçekleştirilmiştir.”</w:t>
      </w:r>
    </w:p>
    <w:p w14:paraId="3E1BA961" w14:textId="42ECFDC3" w:rsidR="000066A1" w:rsidRPr="000066A1" w:rsidRDefault="000066A1" w:rsidP="00671AA4">
      <w:pPr>
        <w:jc w:val="both"/>
        <w:rPr>
          <w:b/>
          <w:bCs/>
          <w:i/>
          <w:iCs/>
          <w:color w:val="FF0000"/>
        </w:rPr>
      </w:pPr>
      <w:proofErr w:type="spellStart"/>
      <w:r w:rsidRPr="000066A1">
        <w:rPr>
          <w:i/>
          <w:iCs/>
          <w:color w:val="FF0000"/>
        </w:rPr>
        <w:t>İbg</w:t>
      </w:r>
      <w:proofErr w:type="spellEnd"/>
      <w:r w:rsidRPr="000066A1">
        <w:rPr>
          <w:i/>
          <w:iCs/>
          <w:color w:val="FF0000"/>
        </w:rPr>
        <w:t xml:space="preserve"> Enstitüsünde, 2547 Sayılı Kanun’un Ek 34’üncü maddesi uyarınca ise devlet yükseköğretim kurumlarında doktora sonrası sözleşmeli araştırmacı olarak 3 kişi çalışmakta iken, 2025 yılında 1 kişi göreve başlatılmış olup, 2 kişi de teklif edilmiştir.</w:t>
      </w:r>
    </w:p>
    <w:sectPr w:rsidR="000066A1" w:rsidRPr="000066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2EC"/>
    <w:rsid w:val="000066A1"/>
    <w:rsid w:val="001C029B"/>
    <w:rsid w:val="002B07E0"/>
    <w:rsid w:val="00361FEE"/>
    <w:rsid w:val="003A6C20"/>
    <w:rsid w:val="00671AA4"/>
    <w:rsid w:val="00895DB0"/>
    <w:rsid w:val="00923F7E"/>
    <w:rsid w:val="00A722EC"/>
    <w:rsid w:val="00B62F26"/>
    <w:rsid w:val="00F237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C9E0F"/>
  <w15:chartTrackingRefBased/>
  <w15:docId w15:val="{2010A885-9D9F-44A2-8075-0FC91DCB1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193</Words>
  <Characters>1102</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cp:revision>
  <dcterms:created xsi:type="dcterms:W3CDTF">2026-03-12T13:17:00Z</dcterms:created>
  <dcterms:modified xsi:type="dcterms:W3CDTF">2026-03-13T09:04:00Z</dcterms:modified>
</cp:coreProperties>
</file>