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8069C" w14:textId="77777777" w:rsidR="003F4F40" w:rsidRDefault="00000000">
      <w:pPr>
        <w:pStyle w:val="Heading3"/>
        <w:jc w:val="left"/>
        <w:rPr>
          <w:sz w:val="36"/>
          <w:szCs w:val="36"/>
        </w:rPr>
      </w:pPr>
      <w:r>
        <w:rPr>
          <w:sz w:val="24"/>
          <w:szCs w:val="24"/>
        </w:rPr>
        <w:t>Thesis Submission Procedures</w:t>
      </w:r>
    </w:p>
    <w:p w14:paraId="0BB27960" w14:textId="77777777" w:rsidR="003F4F40" w:rsidRDefault="00000000">
      <w:pPr>
        <w:pBdr>
          <w:top w:val="nil"/>
          <w:left w:val="nil"/>
          <w:bottom w:val="nil"/>
          <w:right w:val="nil"/>
          <w:between w:val="nil"/>
        </w:pBdr>
        <w:rPr>
          <w:color w:val="000000"/>
        </w:rPr>
      </w:pPr>
      <w:r>
        <w:rPr>
          <w:color w:val="000000"/>
        </w:rPr>
        <w:t xml:space="preserve">a) Three bound copies of the thesis, prepared in accordance with the </w:t>
      </w:r>
      <w:r>
        <w:rPr>
          <w:i/>
          <w:color w:val="000000"/>
        </w:rPr>
        <w:t>“Thesis Acceptance and Writing Guidelines”</w:t>
      </w:r>
      <w:r>
        <w:rPr>
          <w:color w:val="000000"/>
        </w:rPr>
        <w:t xml:space="preserve"> booklet, with covers and/or binding, original signatures, and written approval of the advisor.</w:t>
      </w:r>
    </w:p>
    <w:p w14:paraId="58E6FE2A" w14:textId="77777777" w:rsidR="003F4F40" w:rsidRDefault="00000000">
      <w:pPr>
        <w:pBdr>
          <w:top w:val="nil"/>
          <w:left w:val="nil"/>
          <w:bottom w:val="nil"/>
          <w:right w:val="nil"/>
          <w:between w:val="nil"/>
        </w:pBdr>
        <w:rPr>
          <w:color w:val="000000"/>
        </w:rPr>
      </w:pPr>
      <w:r>
        <w:rPr>
          <w:color w:val="000000"/>
        </w:rPr>
        <w:t>b) Two compact discs (CDs) containing the thesis in digital (PDF) format. Each CD must be placed in a separate envelope, and the label must be written clearly with a CD marker. Each CD must contain three PDF files:</w:t>
      </w:r>
    </w:p>
    <w:p w14:paraId="30B16421" w14:textId="77777777" w:rsidR="003F4F40" w:rsidRDefault="00000000">
      <w:pPr>
        <w:numPr>
          <w:ilvl w:val="0"/>
          <w:numId w:val="1"/>
        </w:numPr>
        <w:pBdr>
          <w:top w:val="nil"/>
          <w:left w:val="nil"/>
          <w:bottom w:val="nil"/>
          <w:right w:val="nil"/>
          <w:between w:val="nil"/>
        </w:pBdr>
      </w:pPr>
      <w:r>
        <w:rPr>
          <w:color w:val="000000"/>
        </w:rPr>
        <w:t>One PDF file must include the entire thesis from the outer cover to the end (including the signed approval page, ethics committee approval, institutional permissions if any, and any other documents not originally in digital form, scanned).</w:t>
      </w:r>
    </w:p>
    <w:p w14:paraId="205B1BC9" w14:textId="77777777" w:rsidR="003F4F40" w:rsidRDefault="00000000">
      <w:pPr>
        <w:numPr>
          <w:ilvl w:val="0"/>
          <w:numId w:val="1"/>
        </w:numPr>
        <w:pBdr>
          <w:top w:val="nil"/>
          <w:left w:val="nil"/>
          <w:bottom w:val="nil"/>
          <w:right w:val="nil"/>
          <w:between w:val="nil"/>
        </w:pBdr>
      </w:pPr>
      <w:r>
        <w:rPr>
          <w:color w:val="000000"/>
        </w:rPr>
        <w:t>One PDF file must contain the English abstract of the thesis.</w:t>
      </w:r>
    </w:p>
    <w:p w14:paraId="6245A0AB" w14:textId="77777777" w:rsidR="003F4F40" w:rsidRDefault="00000000">
      <w:pPr>
        <w:numPr>
          <w:ilvl w:val="0"/>
          <w:numId w:val="1"/>
        </w:numPr>
        <w:pBdr>
          <w:top w:val="nil"/>
          <w:left w:val="nil"/>
          <w:bottom w:val="nil"/>
          <w:right w:val="nil"/>
          <w:between w:val="nil"/>
        </w:pBdr>
      </w:pPr>
      <w:r>
        <w:rPr>
          <w:color w:val="000000"/>
        </w:rPr>
        <w:t>One PDF file must contain the Turkish abstract of the thesis.</w:t>
      </w:r>
    </w:p>
    <w:p w14:paraId="2431B83C" w14:textId="77777777" w:rsidR="003F4F40" w:rsidRDefault="00000000">
      <w:pPr>
        <w:pBdr>
          <w:top w:val="nil"/>
          <w:left w:val="nil"/>
          <w:bottom w:val="nil"/>
          <w:right w:val="nil"/>
          <w:between w:val="nil"/>
        </w:pBdr>
        <w:rPr>
          <w:color w:val="000000"/>
        </w:rPr>
      </w:pPr>
      <w:r>
        <w:rPr>
          <w:color w:val="000000"/>
        </w:rPr>
        <w:t>The CD label must include the title of the thesis, the author’s name, the name of the higher education institution, and the name of the Institute.</w:t>
      </w:r>
    </w:p>
    <w:p w14:paraId="22758FCB" w14:textId="77777777" w:rsidR="003F4F40" w:rsidRDefault="00000000">
      <w:pPr>
        <w:pBdr>
          <w:top w:val="nil"/>
          <w:left w:val="nil"/>
          <w:bottom w:val="nil"/>
          <w:right w:val="nil"/>
          <w:between w:val="nil"/>
        </w:pBdr>
        <w:rPr>
          <w:color w:val="000000"/>
        </w:rPr>
      </w:pPr>
      <w:r>
        <w:rPr>
          <w:color w:val="000000"/>
        </w:rPr>
        <w:t>c) The titles and abstract pages of theses are uploaded into the searchable fields of the Thesis Database. Therefore, these text fields must not include italic fonts, tables, figures, graphs, chemical or mathematical formulas, symbols, subscript or superscript notations, Greek letters, or any other non-standard symbols or characters.</w:t>
      </w:r>
    </w:p>
    <w:p w14:paraId="131A28DA" w14:textId="77777777" w:rsidR="003F4F40" w:rsidRDefault="00000000">
      <w:pPr>
        <w:pBdr>
          <w:top w:val="nil"/>
          <w:left w:val="nil"/>
          <w:bottom w:val="nil"/>
          <w:right w:val="nil"/>
          <w:between w:val="nil"/>
        </w:pBdr>
        <w:rPr>
          <w:color w:val="000000"/>
        </w:rPr>
      </w:pPr>
      <w:r>
        <w:rPr>
          <w:color w:val="000000"/>
        </w:rPr>
        <w:t>ç) Abstracts must be prepared in both Turkish and English, not exceeding 250 words each. Each abstract page must include the thesis title and author’s name. Abstracts must also be saved as PDF files on the thesis CD.</w:t>
      </w:r>
    </w:p>
    <w:p w14:paraId="6D9DFF52" w14:textId="77777777" w:rsidR="003F4F40" w:rsidRDefault="00000000">
      <w:pPr>
        <w:pBdr>
          <w:top w:val="nil"/>
          <w:left w:val="nil"/>
          <w:bottom w:val="nil"/>
          <w:right w:val="nil"/>
          <w:between w:val="nil"/>
        </w:pBdr>
        <w:rPr>
          <w:color w:val="000000"/>
        </w:rPr>
      </w:pPr>
      <w:r>
        <w:rPr>
          <w:color w:val="000000"/>
        </w:rPr>
        <w:t xml:space="preserve">d) Theses must contain an </w:t>
      </w:r>
      <w:r>
        <w:rPr>
          <w:i/>
          <w:color w:val="000000"/>
        </w:rPr>
        <w:t>Approval Page</w:t>
      </w:r>
      <w:r>
        <w:rPr>
          <w:color w:val="000000"/>
        </w:rPr>
        <w:t xml:space="preserve"> including the name of the Institute and University where the thesis was submitted, the title of the thesis, the name of the submitter, the thesis defense date, the names, universities, departments, and signatures of the advisor and jury members. Two additional copies of the Approval Page must also be prepared for submission to the Council of Higher Education (YÖK).</w:t>
      </w:r>
    </w:p>
    <w:p w14:paraId="6158DB9B" w14:textId="77777777" w:rsidR="003F4F40" w:rsidRDefault="00000000">
      <w:pPr>
        <w:pBdr>
          <w:top w:val="nil"/>
          <w:left w:val="nil"/>
          <w:bottom w:val="nil"/>
          <w:right w:val="nil"/>
          <w:between w:val="nil"/>
        </w:pBdr>
        <w:rPr>
          <w:color w:val="000000"/>
        </w:rPr>
      </w:pPr>
      <w:r>
        <w:rPr>
          <w:color w:val="000000"/>
        </w:rPr>
        <w:t>e) The YÖK Thesis Database has been updated. Students must register at the National Thesis Center (</w:t>
      </w:r>
      <w:hyperlink r:id="rId8">
        <w:r>
          <w:rPr>
            <w:color w:val="0000FF"/>
            <w:u w:val="single"/>
          </w:rPr>
          <w:t>http://tez2.yok.gov.tr/tezjic/tez.htm</w:t>
        </w:r>
      </w:hyperlink>
      <w:r>
        <w:rPr>
          <w:color w:val="000000"/>
        </w:rPr>
        <w:t xml:space="preserve">) via the official website </w:t>
      </w:r>
      <w:hyperlink r:id="rId9">
        <w:r>
          <w:rPr>
            <w:color w:val="0000FF"/>
            <w:u w:val="single"/>
          </w:rPr>
          <w:t>www.yok.gov.tr</w:t>
        </w:r>
      </w:hyperlink>
      <w:r>
        <w:rPr>
          <w:color w:val="000000"/>
        </w:rPr>
        <w:t>. After registration, students may log in with the assigned password to access the online data entry form. For each thesis, the “Thesis Data Entry Form” must be completed online by the thesis author, and a reference number must be obtained. Two signed hard copies of the form must be printed and submitted together with the thesis.</w:t>
      </w:r>
    </w:p>
    <w:p w14:paraId="28EDBC07" w14:textId="77777777" w:rsidR="003F4F40" w:rsidRDefault="00000000">
      <w:pPr>
        <w:pBdr>
          <w:top w:val="nil"/>
          <w:left w:val="nil"/>
          <w:bottom w:val="nil"/>
          <w:right w:val="nil"/>
          <w:between w:val="nil"/>
        </w:pBdr>
        <w:rPr>
          <w:color w:val="000000"/>
        </w:rPr>
      </w:pPr>
      <w:r>
        <w:rPr>
          <w:color w:val="000000"/>
        </w:rPr>
        <w:t>f) The copyright declaration has been integrated into the data entry form. When completing the form, the phrase “Restricted” or “Unrestricted” will be automatically generated according to the selection made.</w:t>
      </w:r>
    </w:p>
    <w:p w14:paraId="43530F8A" w14:textId="77777777" w:rsidR="003F4F40" w:rsidRDefault="00000000">
      <w:pPr>
        <w:pBdr>
          <w:top w:val="nil"/>
          <w:left w:val="nil"/>
          <w:bottom w:val="nil"/>
          <w:right w:val="nil"/>
          <w:between w:val="nil"/>
        </w:pBdr>
        <w:rPr>
          <w:color w:val="000000"/>
        </w:rPr>
      </w:pPr>
      <w:r>
        <w:rPr>
          <w:color w:val="000000"/>
        </w:rPr>
        <w:t>g) Students who pass the thesis defense examination must submit all required documents, together with the attached petition form, to the Institute’s Student Affairs Office within one month. Graduation certificates will not be issued to students who fail to submit complete documentation.</w:t>
      </w:r>
    </w:p>
    <w:p w14:paraId="64880768" w14:textId="77777777" w:rsidR="003F4F40" w:rsidRDefault="00000000">
      <w:pPr>
        <w:pBdr>
          <w:top w:val="nil"/>
          <w:left w:val="nil"/>
          <w:bottom w:val="nil"/>
          <w:right w:val="nil"/>
          <w:between w:val="nil"/>
        </w:pBdr>
        <w:rPr>
          <w:color w:val="000000"/>
        </w:rPr>
      </w:pPr>
      <w:r>
        <w:rPr>
          <w:color w:val="000000"/>
        </w:rPr>
        <w:t xml:space="preserve">h) The Graduate Student Information Form must be completed online via </w:t>
      </w:r>
      <w:r>
        <w:rPr>
          <w:i/>
          <w:color w:val="000000"/>
        </w:rPr>
        <w:t>mezun.deu.edu.tr</w:t>
      </w:r>
      <w:r>
        <w:rPr>
          <w:color w:val="000000"/>
        </w:rPr>
        <w:t>.</w:t>
      </w:r>
    </w:p>
    <w:p w14:paraId="51911EA9" w14:textId="77777777" w:rsidR="003F4F40" w:rsidRDefault="00000000">
      <w:pPr>
        <w:pBdr>
          <w:top w:val="nil"/>
          <w:left w:val="nil"/>
          <w:bottom w:val="nil"/>
          <w:right w:val="nil"/>
          <w:between w:val="nil"/>
        </w:pBdr>
        <w:rPr>
          <w:color w:val="000000"/>
        </w:rPr>
      </w:pPr>
      <w:r>
        <w:rPr>
          <w:color w:val="000000"/>
        </w:rPr>
        <w:t>ı) The Clearance Form must be completed.</w:t>
      </w:r>
    </w:p>
    <w:p w14:paraId="4752193A" w14:textId="77777777" w:rsidR="003F4F40" w:rsidRDefault="00000000">
      <w:pPr>
        <w:pBdr>
          <w:top w:val="nil"/>
          <w:left w:val="nil"/>
          <w:bottom w:val="nil"/>
          <w:right w:val="nil"/>
          <w:between w:val="nil"/>
        </w:pBdr>
        <w:rPr>
          <w:color w:val="000000"/>
        </w:rPr>
      </w:pPr>
      <w:r>
        <w:rPr>
          <w:color w:val="000000"/>
        </w:rPr>
        <w:t>i) Student ID cards and a photocopy of the national ID card must be submitted to the Institute Student Affairs Office.</w:t>
      </w:r>
    </w:p>
    <w:p w14:paraId="339EAC20" w14:textId="77777777" w:rsidR="003F4F40" w:rsidRDefault="00000000">
      <w:pPr>
        <w:pBdr>
          <w:top w:val="nil"/>
          <w:left w:val="nil"/>
          <w:bottom w:val="nil"/>
          <w:right w:val="nil"/>
          <w:between w:val="nil"/>
        </w:pBdr>
        <w:jc w:val="right"/>
        <w:rPr>
          <w:color w:val="000000"/>
        </w:rPr>
      </w:pPr>
      <w:r>
        <w:rPr>
          <w:b/>
          <w:color w:val="000000"/>
        </w:rPr>
        <w:t>Directorate of the Institute</w:t>
      </w:r>
    </w:p>
    <w:p w14:paraId="693E0A3C" w14:textId="77777777" w:rsidR="003F4F40" w:rsidRDefault="003F4F40"/>
    <w:sectPr w:rsidR="003F4F40">
      <w:headerReference w:type="default" r:id="rId10"/>
      <w:footerReference w:type="default" r:id="rId11"/>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B8385" w14:textId="77777777" w:rsidR="009C32A7" w:rsidRDefault="009C32A7">
      <w:r>
        <w:separator/>
      </w:r>
    </w:p>
  </w:endnote>
  <w:endnote w:type="continuationSeparator" w:id="0">
    <w:p w14:paraId="09219251" w14:textId="77777777" w:rsidR="009C32A7" w:rsidRDefault="009C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63A3" w14:textId="77777777" w:rsidR="003F4F40" w:rsidRDefault="00000000">
    <w:pPr>
      <w:pBdr>
        <w:top w:val="nil"/>
        <w:left w:val="nil"/>
        <w:bottom w:val="nil"/>
        <w:right w:val="nil"/>
        <w:between w:val="nil"/>
      </w:pBdr>
      <w:tabs>
        <w:tab w:val="center" w:pos="4536"/>
        <w:tab w:val="right" w:pos="9072"/>
      </w:tabs>
      <w:jc w:val="right"/>
      <w:rPr>
        <w:color w:val="000000"/>
      </w:rPr>
    </w:pPr>
    <w:r>
      <w:t>Update date</w:t>
    </w:r>
    <w:r>
      <w:rPr>
        <w:color w:val="000000"/>
      </w:rPr>
      <w:t xml:space="preserve">: 17/08/2025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395FC" w14:textId="77777777" w:rsidR="009C32A7" w:rsidRDefault="009C32A7">
      <w:r>
        <w:separator/>
      </w:r>
    </w:p>
  </w:footnote>
  <w:footnote w:type="continuationSeparator" w:id="0">
    <w:p w14:paraId="3B6A1FBA" w14:textId="77777777" w:rsidR="009C32A7" w:rsidRDefault="009C3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6B868" w14:textId="77777777" w:rsidR="003F4F40" w:rsidRDefault="00000000">
    <w:r>
      <w:rPr>
        <w:noProof/>
      </w:rPr>
      <w:drawing>
        <wp:inline distT="0" distB="0" distL="0" distR="0" wp14:anchorId="44BDB686" wp14:editId="3D1009AC">
          <wp:extent cx="6120000" cy="1056867"/>
          <wp:effectExtent l="0" t="0" r="0" b="0"/>
          <wp:docPr id="15486167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0000" cy="1056867"/>
                  </a:xfrm>
                  <a:prstGeom prst="rect">
                    <a:avLst/>
                  </a:prstGeom>
                  <a:ln/>
                </pic:spPr>
              </pic:pic>
            </a:graphicData>
          </a:graphic>
        </wp:inline>
      </w:drawing>
    </w:r>
  </w:p>
  <w:p w14:paraId="785D31BD" w14:textId="77777777" w:rsidR="003F4F40" w:rsidRDefault="003F4F40">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E4366"/>
    <w:multiLevelType w:val="multilevel"/>
    <w:tmpl w:val="E92836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6AC01F1F"/>
    <w:multiLevelType w:val="multilevel"/>
    <w:tmpl w:val="633C6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15021740">
    <w:abstractNumId w:val="0"/>
  </w:num>
  <w:num w:numId="2" w16cid:durableId="549070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F40"/>
    <w:rsid w:val="003F4F40"/>
    <w:rsid w:val="009A6230"/>
    <w:rsid w:val="009C32A7"/>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3273DA75"/>
  <w15:docId w15:val="{294F2418-8ECE-3744-B65E-822A12C9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jc w:val="center"/>
      <w:outlineLvl w:val="1"/>
    </w:pPr>
    <w:rPr>
      <w:b/>
    </w:rPr>
  </w:style>
  <w:style w:type="paragraph" w:styleId="Heading3">
    <w:name w:val="heading 3"/>
    <w:basedOn w:val="Normal"/>
    <w:next w:val="Normal"/>
    <w:link w:val="Heading3Char"/>
    <w:uiPriority w:val="9"/>
    <w:unhideWhenUsed/>
    <w:qFormat/>
    <w:pPr>
      <w:keepNext/>
      <w:ind w:right="72"/>
      <w:jc w:val="right"/>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71790D"/>
    <w:pPr>
      <w:tabs>
        <w:tab w:val="center" w:pos="4536"/>
        <w:tab w:val="right" w:pos="9072"/>
      </w:tabs>
    </w:pPr>
  </w:style>
  <w:style w:type="character" w:customStyle="1" w:styleId="HeaderChar">
    <w:name w:val="Header Char"/>
    <w:link w:val="Header"/>
    <w:uiPriority w:val="99"/>
    <w:locked/>
    <w:rsid w:val="0071790D"/>
    <w:rPr>
      <w:rFonts w:ascii="Times New Roman" w:hAnsi="Times New Roman" w:cs="Times New Roman"/>
      <w:sz w:val="24"/>
      <w:szCs w:val="24"/>
      <w:lang w:eastAsia="tr-TR"/>
    </w:rPr>
  </w:style>
  <w:style w:type="paragraph" w:styleId="Footer">
    <w:name w:val="footer"/>
    <w:basedOn w:val="Normal"/>
    <w:link w:val="FooterChar"/>
    <w:rsid w:val="0071790D"/>
    <w:pPr>
      <w:tabs>
        <w:tab w:val="center" w:pos="4536"/>
        <w:tab w:val="right" w:pos="9072"/>
      </w:tabs>
    </w:pPr>
  </w:style>
  <w:style w:type="character" w:customStyle="1" w:styleId="FooterChar">
    <w:name w:val="Footer Char"/>
    <w:link w:val="Footer"/>
    <w:locked/>
    <w:rsid w:val="0071790D"/>
    <w:rPr>
      <w:rFonts w:ascii="Times New Roman" w:hAnsi="Times New Roman" w:cs="Times New Roman"/>
      <w:sz w:val="24"/>
      <w:szCs w:val="24"/>
      <w:lang w:eastAsia="tr-TR"/>
    </w:rPr>
  </w:style>
  <w:style w:type="paragraph" w:customStyle="1" w:styleId="Default">
    <w:name w:val="Default"/>
    <w:uiPriority w:val="99"/>
    <w:rsid w:val="00E3386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2"/>
      <w:szCs w:val="22"/>
    </w:rPr>
  </w:style>
  <w:style w:type="paragraph" w:styleId="NormalWeb">
    <w:name w:val="Normal (Web)"/>
    <w:basedOn w:val="Normal"/>
    <w:uiPriority w:val="99"/>
    <w:rsid w:val="00CD03EE"/>
    <w:pPr>
      <w:spacing w:before="100" w:beforeAutospacing="1" w:after="100" w:afterAutospacing="1"/>
    </w:pPr>
  </w:style>
  <w:style w:type="paragraph" w:styleId="BalloonText">
    <w:name w:val="Balloon Text"/>
    <w:basedOn w:val="Normal"/>
    <w:link w:val="BalloonTextChar"/>
    <w:uiPriority w:val="99"/>
    <w:semiHidden/>
    <w:rsid w:val="007067CB"/>
    <w:rPr>
      <w:rFonts w:ascii="Tahoma" w:hAnsi="Tahoma" w:cs="Tahoma"/>
      <w:sz w:val="16"/>
      <w:szCs w:val="16"/>
    </w:rPr>
  </w:style>
  <w:style w:type="character" w:customStyle="1" w:styleId="BalloonTextChar">
    <w:name w:val="Balloon Text Char"/>
    <w:link w:val="BalloonText"/>
    <w:uiPriority w:val="99"/>
    <w:semiHidden/>
    <w:locked/>
    <w:rsid w:val="007067CB"/>
    <w:rPr>
      <w:rFonts w:ascii="Tahoma" w:hAnsi="Tahoma" w:cs="Tahoma"/>
      <w:sz w:val="16"/>
      <w:szCs w:val="16"/>
      <w:lang w:eastAsia="tr-TR"/>
    </w:rPr>
  </w:style>
  <w:style w:type="paragraph" w:styleId="IntenseQuote">
    <w:name w:val="Intense Quote"/>
    <w:basedOn w:val="Normal"/>
    <w:next w:val="Normal"/>
    <w:link w:val="IntenseQuoteChar"/>
    <w:uiPriority w:val="99"/>
    <w:qFormat/>
    <w:rsid w:val="00CB56A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locked/>
    <w:rsid w:val="00CB56AC"/>
    <w:rPr>
      <w:rFonts w:ascii="Times New Roman" w:hAnsi="Times New Roman" w:cs="Times New Roman"/>
      <w:b/>
      <w:bCs/>
      <w:i/>
      <w:iCs/>
      <w:color w:val="4F81BD"/>
      <w:sz w:val="24"/>
      <w:szCs w:val="24"/>
      <w:lang w:eastAsia="tr-TR"/>
    </w:rPr>
  </w:style>
  <w:style w:type="character" w:styleId="Hyperlink">
    <w:name w:val="Hyperlink"/>
    <w:uiPriority w:val="99"/>
    <w:rsid w:val="00914021"/>
    <w:rPr>
      <w:rFonts w:cs="Times New Roman"/>
      <w:color w:val="0000FF"/>
      <w:u w:val="single"/>
    </w:rPr>
  </w:style>
  <w:style w:type="character" w:customStyle="1" w:styleId="apple-converted-space">
    <w:name w:val="apple-converted-space"/>
    <w:uiPriority w:val="99"/>
    <w:rsid w:val="000126D4"/>
  </w:style>
  <w:style w:type="table" w:styleId="TableGrid">
    <w:name w:val="Table Grid"/>
    <w:basedOn w:val="TableNormal"/>
    <w:uiPriority w:val="99"/>
    <w:rsid w:val="00194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300D7"/>
    <w:pPr>
      <w:ind w:left="720"/>
      <w:contextualSpacing/>
    </w:pPr>
  </w:style>
  <w:style w:type="numbering" w:customStyle="1" w:styleId="Bullet">
    <w:name w:val="Bullet"/>
    <w:rsid w:val="0077361E"/>
  </w:style>
  <w:style w:type="character" w:customStyle="1" w:styleId="Heading2Char">
    <w:name w:val="Heading 2 Char"/>
    <w:basedOn w:val="DefaultParagraphFont"/>
    <w:link w:val="Heading2"/>
    <w:rsid w:val="002B1182"/>
    <w:rPr>
      <w:rFonts w:ascii="Times New Roman" w:eastAsia="Times New Roman" w:hAnsi="Times New Roman"/>
      <w:b/>
      <w:bCs/>
      <w:sz w:val="24"/>
      <w:szCs w:val="24"/>
    </w:rPr>
  </w:style>
  <w:style w:type="character" w:customStyle="1" w:styleId="Heading3Char">
    <w:name w:val="Heading 3 Char"/>
    <w:basedOn w:val="DefaultParagraphFont"/>
    <w:link w:val="Heading3"/>
    <w:rsid w:val="002B1182"/>
    <w:rPr>
      <w:rFonts w:ascii="Times New Roman" w:eastAsia="Times New Roman" w:hAnsi="Times New Roman"/>
      <w:b/>
    </w:rPr>
  </w:style>
  <w:style w:type="paragraph" w:styleId="BodyText">
    <w:name w:val="Body Text"/>
    <w:basedOn w:val="Normal"/>
    <w:link w:val="BodyTextChar"/>
    <w:rsid w:val="002B1182"/>
    <w:pPr>
      <w:jc w:val="center"/>
    </w:pPr>
  </w:style>
  <w:style w:type="character" w:customStyle="1" w:styleId="BodyTextChar">
    <w:name w:val="Body Text Char"/>
    <w:basedOn w:val="DefaultParagraphFont"/>
    <w:link w:val="BodyText"/>
    <w:rsid w:val="002B1182"/>
    <w:rPr>
      <w:rFonts w:ascii="Times New Roman" w:eastAsia="Times New Roman" w:hAnsi="Times New Roman"/>
      <w:sz w:val="24"/>
      <w:szCs w:val="24"/>
    </w:rPr>
  </w:style>
  <w:style w:type="paragraph" w:customStyle="1" w:styleId="msobodytextindent20">
    <w:name w:val="msobodytextindent2"/>
    <w:basedOn w:val="Normal"/>
    <w:uiPriority w:val="99"/>
    <w:semiHidden/>
    <w:rsid w:val="002B1182"/>
    <w:pPr>
      <w:spacing w:after="120" w:line="480" w:lineRule="auto"/>
      <w:ind w:left="283"/>
    </w:pPr>
    <w:rPr>
      <w:rFonts w:ascii="Calibri" w:eastAsia="Calibri" w:hAnsi="Calibri"/>
      <w:sz w:val="22"/>
      <w:szCs w:val="22"/>
    </w:rPr>
  </w:style>
  <w:style w:type="character" w:styleId="Emphasis">
    <w:name w:val="Emphasis"/>
    <w:basedOn w:val="DefaultParagraphFont"/>
    <w:uiPriority w:val="20"/>
    <w:qFormat/>
    <w:locked/>
    <w:rsid w:val="002F4F9C"/>
    <w:rPr>
      <w:i/>
      <w:iCs/>
    </w:rPr>
  </w:style>
  <w:style w:type="character" w:styleId="Strong">
    <w:name w:val="Strong"/>
    <w:basedOn w:val="DefaultParagraphFont"/>
    <w:uiPriority w:val="22"/>
    <w:qFormat/>
    <w:locked/>
    <w:rsid w:val="002F4F9C"/>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tez2.yok.gov.tr/tezjic/tez.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yok.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qzqPcl7yxBplE4c9glzwGDkeUw==">CgMxLjA4AHIhMVRQcU94VC13elBIZkpMekp6d2Y4eC1faHFpV2VENVFO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ERDAL UZUNLAR</cp:lastModifiedBy>
  <cp:revision>2</cp:revision>
  <dcterms:created xsi:type="dcterms:W3CDTF">2025-11-12T11:38:00Z</dcterms:created>
  <dcterms:modified xsi:type="dcterms:W3CDTF">2025-11-12T11:38:00Z</dcterms:modified>
</cp:coreProperties>
</file>