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3881" w14:textId="77777777" w:rsidR="00595B6E" w:rsidRDefault="00000000">
      <w:pPr>
        <w:spacing w:after="240" w:line="276" w:lineRule="auto"/>
        <w:ind w:firstLine="425"/>
        <w:jc w:val="center"/>
        <w:rPr>
          <w:b/>
          <w:color w:val="FF0000"/>
        </w:rPr>
      </w:pPr>
      <w:r>
        <w:rPr>
          <w:b/>
          <w:color w:val="FF0000"/>
        </w:rPr>
        <w:t>APPLICATION AND ADMISSION PROCESS FOR THE MASTER’S PROGRAM</w:t>
      </w:r>
    </w:p>
    <w:p w14:paraId="139F7326" w14:textId="77777777" w:rsidR="00595B6E" w:rsidRDefault="00000000">
      <w:pPr>
        <w:spacing w:line="276" w:lineRule="auto"/>
        <w:ind w:firstLine="425"/>
        <w:jc w:val="both"/>
        <w:rPr>
          <w:b/>
          <w:color w:val="FF0000"/>
        </w:rPr>
      </w:pPr>
      <w:r>
        <w:rPr>
          <w:b/>
          <w:color w:val="FF0000"/>
        </w:rPr>
        <w:t>QUOTA ANNOUNCEMENT PROCESS</w:t>
      </w:r>
    </w:p>
    <w:p w14:paraId="67113AD1" w14:textId="77777777" w:rsidR="00595B6E" w:rsidRDefault="00000000">
      <w:pPr>
        <w:spacing w:line="276" w:lineRule="auto"/>
        <w:ind w:firstLine="425"/>
        <w:jc w:val="both"/>
      </w:pPr>
      <w:r>
        <w:t>The quota requests submitted by the Departments in accordance with the academic calendar are reviewed and finalized in the Institute Council. The quotas for the Master’s programs are then announced on the Institute’s website.</w:t>
      </w:r>
    </w:p>
    <w:p w14:paraId="1B0A3EBE" w14:textId="77777777" w:rsidR="00595B6E" w:rsidRDefault="00595B6E">
      <w:pPr>
        <w:spacing w:line="276" w:lineRule="auto"/>
        <w:ind w:firstLine="425"/>
        <w:jc w:val="both"/>
        <w:rPr>
          <w:b/>
          <w:color w:val="FF0000"/>
        </w:rPr>
      </w:pPr>
    </w:p>
    <w:p w14:paraId="7315B831" w14:textId="77777777" w:rsidR="00595B6E" w:rsidRDefault="00000000">
      <w:pPr>
        <w:spacing w:line="276" w:lineRule="auto"/>
        <w:ind w:firstLine="425"/>
        <w:jc w:val="both"/>
        <w:rPr>
          <w:b/>
          <w:color w:val="FF0000"/>
        </w:rPr>
      </w:pPr>
      <w:r>
        <w:rPr>
          <w:b/>
          <w:color w:val="FF0000"/>
        </w:rPr>
        <w:t>QUOTA APPLICATION PROCESS</w:t>
      </w:r>
    </w:p>
    <w:p w14:paraId="23482058" w14:textId="77777777" w:rsidR="00595B6E" w:rsidRDefault="00000000">
      <w:pPr>
        <w:spacing w:line="276" w:lineRule="auto"/>
        <w:ind w:firstLine="425"/>
        <w:jc w:val="both"/>
      </w:pPr>
      <w:r>
        <w:rPr>
          <w:b/>
          <w:color w:val="0070C0"/>
        </w:rPr>
        <w:t>DIPLOMA:</w:t>
      </w:r>
      <w:r>
        <w:t xml:space="preserve"> Applicants must hold a Bachelor’s degree or be in the final year/semester of their undergraduate studies.</w:t>
      </w:r>
    </w:p>
    <w:p w14:paraId="210DA311" w14:textId="77777777" w:rsidR="00595B6E" w:rsidRDefault="00000000">
      <w:pPr>
        <w:spacing w:line="276" w:lineRule="auto"/>
        <w:ind w:firstLine="425"/>
        <w:jc w:val="both"/>
      </w:pPr>
      <w:r>
        <w:rPr>
          <w:b/>
          <w:color w:val="0070C0"/>
        </w:rPr>
        <w:t>ALES</w:t>
      </w:r>
      <w:r>
        <w:rPr>
          <w:color w:val="0070C0"/>
        </w:rPr>
        <w:t xml:space="preserve">: </w:t>
      </w:r>
      <w:r>
        <w:t>A minimum score of 55 in ALES in the relevant field of the applied program, or an equivalent score in GRE or GMAT determined by the Senate, is required.</w:t>
      </w:r>
    </w:p>
    <w:p w14:paraId="23358783" w14:textId="77777777" w:rsidR="00595B6E" w:rsidRDefault="00000000">
      <w:pPr>
        <w:spacing w:line="276" w:lineRule="auto"/>
        <w:ind w:firstLine="425"/>
        <w:jc w:val="both"/>
      </w:pPr>
      <w:r>
        <w:rPr>
          <w:b/>
          <w:color w:val="0070C0"/>
        </w:rPr>
        <w:t>FOREIGN LANGUAGE</w:t>
      </w:r>
      <w:r>
        <w:rPr>
          <w:color w:val="0070C0"/>
        </w:rPr>
        <w:t xml:space="preserve">: </w:t>
      </w:r>
      <w:r>
        <w:t>Applicants must obtain a minimum score of 55 from the foreign language proficiency exam conducted by the DEU School of Foreign Languages (valid for 3 years), or at least 50 from a central foreign language exam recognized by the Council of Higher Education (YÖK) (valid for 5 years).</w:t>
      </w:r>
    </w:p>
    <w:p w14:paraId="579C793E" w14:textId="77777777" w:rsidR="00595B6E" w:rsidRDefault="00595B6E">
      <w:pPr>
        <w:spacing w:line="276" w:lineRule="auto"/>
        <w:ind w:firstLine="425"/>
        <w:jc w:val="both"/>
      </w:pPr>
    </w:p>
    <w:p w14:paraId="28E41265" w14:textId="77777777" w:rsidR="00595B6E" w:rsidRDefault="00000000">
      <w:pPr>
        <w:shd w:val="clear" w:color="auto" w:fill="FFFFFF"/>
        <w:spacing w:line="276" w:lineRule="auto"/>
        <w:ind w:firstLine="425"/>
        <w:rPr>
          <w:color w:val="404040"/>
        </w:rPr>
      </w:pPr>
      <w:r>
        <w:rPr>
          <w:b/>
          <w:color w:val="0070C0"/>
        </w:rPr>
        <w:t>REQUIRED APPLICATION DOCUMENTS</w:t>
      </w:r>
    </w:p>
    <w:p w14:paraId="50A2827C" w14:textId="77777777" w:rsidR="00595B6E" w:rsidRDefault="00000000">
      <w:pPr>
        <w:numPr>
          <w:ilvl w:val="0"/>
          <w:numId w:val="1"/>
        </w:numPr>
        <w:shd w:val="clear" w:color="auto" w:fill="FFFFFF"/>
        <w:spacing w:line="276" w:lineRule="auto"/>
        <w:ind w:firstLine="425"/>
      </w:pPr>
      <w:r>
        <w:t>Copy of ID card</w:t>
      </w:r>
    </w:p>
    <w:p w14:paraId="0574A811" w14:textId="77777777" w:rsidR="00595B6E" w:rsidRDefault="00000000">
      <w:pPr>
        <w:numPr>
          <w:ilvl w:val="0"/>
          <w:numId w:val="1"/>
        </w:numPr>
        <w:shd w:val="clear" w:color="auto" w:fill="FFFFFF"/>
        <w:spacing w:line="276" w:lineRule="auto"/>
        <w:ind w:firstLine="425"/>
      </w:pPr>
      <w:r>
        <w:t>Curriculum Vitae</w:t>
      </w:r>
    </w:p>
    <w:p w14:paraId="67603F8F" w14:textId="77777777" w:rsidR="00595B6E" w:rsidRDefault="00000000">
      <w:pPr>
        <w:numPr>
          <w:ilvl w:val="0"/>
          <w:numId w:val="1"/>
        </w:numPr>
        <w:shd w:val="clear" w:color="auto" w:fill="FFFFFF"/>
        <w:spacing w:line="276" w:lineRule="auto"/>
        <w:ind w:firstLine="425"/>
      </w:pPr>
      <w:r>
        <w:t xml:space="preserve">Diploma/temporary graduation certificate </w:t>
      </w:r>
    </w:p>
    <w:p w14:paraId="7273314E" w14:textId="77777777" w:rsidR="00595B6E" w:rsidRDefault="00000000">
      <w:pPr>
        <w:numPr>
          <w:ilvl w:val="0"/>
          <w:numId w:val="1"/>
        </w:numPr>
        <w:shd w:val="clear" w:color="auto" w:fill="FFFFFF"/>
        <w:spacing w:line="276" w:lineRule="auto"/>
        <w:ind w:firstLine="425"/>
      </w:pPr>
      <w:r>
        <w:t>ALES/GRE/GMAT document</w:t>
      </w:r>
    </w:p>
    <w:p w14:paraId="48376DCE" w14:textId="77777777" w:rsidR="00595B6E" w:rsidRDefault="00000000">
      <w:pPr>
        <w:numPr>
          <w:ilvl w:val="0"/>
          <w:numId w:val="1"/>
        </w:numPr>
        <w:shd w:val="clear" w:color="auto" w:fill="FFFFFF"/>
        <w:spacing w:line="276" w:lineRule="auto"/>
        <w:ind w:firstLine="425"/>
        <w:rPr>
          <w:b/>
          <w:color w:val="FF0000"/>
        </w:rPr>
      </w:pPr>
      <w:r>
        <w:t xml:space="preserve">English proficiency document </w:t>
      </w:r>
    </w:p>
    <w:p w14:paraId="117C440B" w14:textId="77777777" w:rsidR="00595B6E" w:rsidRDefault="00000000">
      <w:pPr>
        <w:numPr>
          <w:ilvl w:val="0"/>
          <w:numId w:val="1"/>
        </w:numPr>
        <w:shd w:val="clear" w:color="auto" w:fill="FFFFFF"/>
        <w:spacing w:line="276" w:lineRule="auto"/>
        <w:ind w:firstLine="425"/>
        <w:rPr>
          <w:b/>
          <w:color w:val="FF0000"/>
        </w:rPr>
      </w:pPr>
      <w:r>
        <w:t>Transcript</w:t>
      </w:r>
    </w:p>
    <w:p w14:paraId="674B030E" w14:textId="77777777" w:rsidR="00595B6E" w:rsidRDefault="00595B6E">
      <w:pPr>
        <w:spacing w:line="276" w:lineRule="auto"/>
        <w:ind w:firstLine="425"/>
        <w:rPr>
          <w:b/>
          <w:color w:val="FF0000"/>
        </w:rPr>
      </w:pPr>
    </w:p>
    <w:p w14:paraId="43C11E9B" w14:textId="77777777" w:rsidR="00595B6E" w:rsidRDefault="00000000">
      <w:pPr>
        <w:spacing w:line="276" w:lineRule="auto"/>
        <w:ind w:firstLine="425"/>
        <w:rPr>
          <w:b/>
          <w:color w:val="FF0000"/>
        </w:rPr>
      </w:pPr>
      <w:r>
        <w:rPr>
          <w:b/>
          <w:color w:val="FF0000"/>
        </w:rPr>
        <w:t>EVALUATION</w:t>
      </w:r>
    </w:p>
    <w:p w14:paraId="62BFF713" w14:textId="77777777" w:rsidR="00595B6E" w:rsidRDefault="00000000">
      <w:pPr>
        <w:spacing w:line="276" w:lineRule="auto"/>
        <w:ind w:firstLine="425"/>
        <w:jc w:val="both"/>
      </w:pPr>
      <w:r>
        <w:t>Applicants must obtain a minimum score of 65 out of 100 to be considered successful. The final success score is calculated as 25% of the evaluation score, 25% of the undergraduate GPA, and 50% of the ALES score. Based on these scores, applicants are ranked from highest to lowest and placed in the programs according to the available quotas.</w:t>
      </w:r>
    </w:p>
    <w:p w14:paraId="79767AC7" w14:textId="77777777" w:rsidR="00595B6E" w:rsidRDefault="00000000">
      <w:pPr>
        <w:spacing w:line="276" w:lineRule="auto"/>
        <w:ind w:firstLine="425"/>
        <w:jc w:val="both"/>
      </w:pPr>
      <w:r>
        <w:t>For applicants in the final year of their undergraduate studies who have not yet graduated, the current GPA is taken into account. In case of a tie, the applicant with the higher GPA is given priority.</w:t>
      </w:r>
    </w:p>
    <w:p w14:paraId="51510D31" w14:textId="77777777" w:rsidR="00595B6E" w:rsidRDefault="00595B6E">
      <w:pPr>
        <w:spacing w:line="276" w:lineRule="auto"/>
        <w:ind w:firstLine="425"/>
        <w:rPr>
          <w:b/>
          <w:color w:val="FF0000"/>
        </w:rPr>
      </w:pPr>
    </w:p>
    <w:p w14:paraId="2D73F608" w14:textId="77777777" w:rsidR="00595B6E" w:rsidRDefault="00000000">
      <w:pPr>
        <w:spacing w:line="276" w:lineRule="auto"/>
        <w:ind w:firstLine="425"/>
        <w:rPr>
          <w:b/>
          <w:color w:val="FF0000"/>
        </w:rPr>
      </w:pPr>
      <w:r>
        <w:rPr>
          <w:b/>
          <w:color w:val="FF0000"/>
        </w:rPr>
        <w:t>MASTER’S EDUCATION PROCESS</w:t>
      </w:r>
    </w:p>
    <w:p w14:paraId="54B25397" w14:textId="77777777" w:rsidR="00595B6E" w:rsidRDefault="00000000">
      <w:pPr>
        <w:spacing w:line="276" w:lineRule="auto"/>
        <w:ind w:firstLine="425"/>
        <w:jc w:val="both"/>
        <w:rPr>
          <w:b/>
          <w:color w:val="4F81BD"/>
        </w:rPr>
      </w:pPr>
      <w:r>
        <w:rPr>
          <w:b/>
          <w:color w:val="4F81BD"/>
        </w:rPr>
        <w:t>Master’s Education Duration and Course Load</w:t>
      </w:r>
    </w:p>
    <w:p w14:paraId="583DBB05" w14:textId="77777777" w:rsidR="00595B6E" w:rsidRDefault="00000000">
      <w:pPr>
        <w:spacing w:line="276" w:lineRule="auto"/>
        <w:ind w:firstLine="425"/>
        <w:jc w:val="both"/>
      </w:pPr>
      <w:r>
        <w:t>The Master’s program requires a minimum of 21 credits, corresponding to seven courses, in addition to a seminar, field specialization course, and thesis work.</w:t>
      </w:r>
    </w:p>
    <w:p w14:paraId="533C8F9F" w14:textId="77777777" w:rsidR="00595B6E" w:rsidRDefault="00000000">
      <w:pPr>
        <w:spacing w:line="276" w:lineRule="auto"/>
        <w:ind w:firstLine="425"/>
        <w:jc w:val="both"/>
      </w:pPr>
      <w:r>
        <w:t>Each semester, students must register for courses totaling 30 ECTS credits. The thesis work carries 60 ECTS credits.</w:t>
      </w:r>
    </w:p>
    <w:p w14:paraId="555EBAAD" w14:textId="77777777" w:rsidR="00595B6E" w:rsidRDefault="00000000">
      <w:pPr>
        <w:spacing w:line="276" w:lineRule="auto"/>
        <w:ind w:firstLine="425"/>
        <w:jc w:val="both"/>
      </w:pPr>
      <w:r>
        <w:t>The total requirement for the program is 120 ECTS credits, and the maximum duration for completion is three years.</w:t>
      </w:r>
    </w:p>
    <w:p w14:paraId="2E2C589D" w14:textId="77777777" w:rsidR="00595B6E" w:rsidRDefault="00595B6E">
      <w:pPr>
        <w:spacing w:line="276" w:lineRule="auto"/>
        <w:ind w:firstLine="425"/>
        <w:jc w:val="both"/>
      </w:pPr>
    </w:p>
    <w:p w14:paraId="765049BC" w14:textId="77777777" w:rsidR="00595B6E" w:rsidRDefault="00000000">
      <w:pPr>
        <w:spacing w:line="276" w:lineRule="auto"/>
        <w:ind w:firstLine="425"/>
        <w:rPr>
          <w:b/>
          <w:color w:val="4F81BD"/>
        </w:rPr>
      </w:pPr>
      <w:r>
        <w:rPr>
          <w:b/>
          <w:color w:val="4F81BD"/>
        </w:rPr>
        <w:lastRenderedPageBreak/>
        <w:t>1</w:t>
      </w:r>
      <w:r>
        <w:rPr>
          <w:b/>
          <w:color w:val="4F81BD"/>
          <w:vertAlign w:val="superscript"/>
        </w:rPr>
        <w:t xml:space="preserve">st </w:t>
      </w:r>
      <w:r>
        <w:rPr>
          <w:b/>
          <w:color w:val="4F81BD"/>
        </w:rPr>
        <w:t>Semester</w:t>
      </w:r>
    </w:p>
    <w:p w14:paraId="0129B52D" w14:textId="77777777" w:rsidR="00595B6E" w:rsidRDefault="00000000">
      <w:pPr>
        <w:spacing w:line="276" w:lineRule="auto"/>
        <w:ind w:firstLine="425"/>
      </w:pPr>
      <w:r>
        <w:t>Register for courses totaling 30 ECTS credits via the online registration system.</w:t>
      </w:r>
    </w:p>
    <w:p w14:paraId="381826D6" w14:textId="77777777" w:rsidR="00595B6E" w:rsidRDefault="00000000">
      <w:pPr>
        <w:spacing w:line="276" w:lineRule="auto"/>
        <w:ind w:firstLine="425"/>
      </w:pPr>
      <w:r>
        <w:t>Take midterm and final examinations as scheduled by the Department and the academic calendar.</w:t>
      </w:r>
    </w:p>
    <w:p w14:paraId="1196AF05" w14:textId="77777777" w:rsidR="00595B6E" w:rsidRDefault="00000000">
      <w:pPr>
        <w:spacing w:line="276" w:lineRule="auto"/>
        <w:ind w:firstLine="425"/>
      </w:pPr>
      <w:r>
        <w:t>The thesis advisor must be appointed no later than the end of the first semester.</w:t>
      </w:r>
    </w:p>
    <w:p w14:paraId="5CC51880" w14:textId="77777777" w:rsidR="00595B6E" w:rsidRDefault="00595B6E">
      <w:pPr>
        <w:spacing w:line="276" w:lineRule="auto"/>
        <w:ind w:firstLine="425"/>
      </w:pPr>
    </w:p>
    <w:p w14:paraId="1049BD7F" w14:textId="77777777" w:rsidR="00595B6E" w:rsidRDefault="00000000">
      <w:pPr>
        <w:spacing w:line="276" w:lineRule="auto"/>
        <w:ind w:firstLine="425"/>
        <w:rPr>
          <w:b/>
          <w:color w:val="4F81BD"/>
        </w:rPr>
      </w:pPr>
      <w:r>
        <w:rPr>
          <w:b/>
          <w:color w:val="4F81BD"/>
        </w:rPr>
        <w:t>2</w:t>
      </w:r>
      <w:r>
        <w:rPr>
          <w:b/>
          <w:color w:val="4F81BD"/>
          <w:vertAlign w:val="superscript"/>
        </w:rPr>
        <w:t>nd</w:t>
      </w:r>
      <w:r>
        <w:rPr>
          <w:b/>
          <w:color w:val="4F81BD"/>
        </w:rPr>
        <w:t xml:space="preserve"> Semester</w:t>
      </w:r>
    </w:p>
    <w:p w14:paraId="77F76030" w14:textId="77777777" w:rsidR="00595B6E" w:rsidRDefault="00000000">
      <w:pPr>
        <w:spacing w:line="276" w:lineRule="auto"/>
        <w:ind w:firstLine="425"/>
      </w:pPr>
      <w:r>
        <w:t>Register for courses totaling 30 ECTS credits via the online registration system.</w:t>
      </w:r>
    </w:p>
    <w:p w14:paraId="68321456" w14:textId="77777777" w:rsidR="00595B6E" w:rsidRDefault="00000000">
      <w:pPr>
        <w:spacing w:line="276" w:lineRule="auto"/>
        <w:ind w:firstLine="425"/>
      </w:pPr>
      <w:r>
        <w:t>Take midterm and final examinations as scheduled by the Department and the academic calendar.</w:t>
      </w:r>
    </w:p>
    <w:p w14:paraId="64430DAB" w14:textId="77777777" w:rsidR="00595B6E" w:rsidRDefault="00000000">
      <w:pPr>
        <w:spacing w:line="276" w:lineRule="auto"/>
        <w:ind w:firstLine="425"/>
      </w:pPr>
      <w:r>
        <w:t>Together with the advisor, propose the thesis topic (with Ethics Committee approval if required) to the Institute no later than the end of the second semester.</w:t>
      </w:r>
    </w:p>
    <w:p w14:paraId="7B703E92" w14:textId="77777777" w:rsidR="00595B6E" w:rsidRDefault="00595B6E">
      <w:pPr>
        <w:spacing w:line="276" w:lineRule="auto"/>
        <w:ind w:firstLine="425"/>
      </w:pPr>
    </w:p>
    <w:p w14:paraId="1C1D64FF" w14:textId="77777777" w:rsidR="00595B6E" w:rsidRDefault="00000000">
      <w:pPr>
        <w:spacing w:line="276" w:lineRule="auto"/>
        <w:ind w:firstLine="425"/>
        <w:rPr>
          <w:b/>
          <w:color w:val="4F81BD"/>
        </w:rPr>
      </w:pPr>
      <w:r>
        <w:rPr>
          <w:b/>
          <w:color w:val="4F81BD"/>
        </w:rPr>
        <w:t>3</w:t>
      </w:r>
      <w:r>
        <w:rPr>
          <w:b/>
          <w:color w:val="4F81BD"/>
          <w:vertAlign w:val="superscript"/>
        </w:rPr>
        <w:t>rd</w:t>
      </w:r>
      <w:r>
        <w:rPr>
          <w:b/>
          <w:color w:val="4F81BD"/>
        </w:rPr>
        <w:t xml:space="preserve"> and 4</w:t>
      </w:r>
      <w:r>
        <w:rPr>
          <w:b/>
          <w:color w:val="4F81BD"/>
          <w:vertAlign w:val="superscript"/>
        </w:rPr>
        <w:t>th</w:t>
      </w:r>
      <w:r>
        <w:rPr>
          <w:b/>
          <w:color w:val="4F81BD"/>
        </w:rPr>
        <w:t xml:space="preserve"> Semesters</w:t>
      </w:r>
    </w:p>
    <w:p w14:paraId="2EB84B27" w14:textId="77777777" w:rsidR="00595B6E" w:rsidRDefault="00000000">
      <w:pPr>
        <w:spacing w:line="276" w:lineRule="auto"/>
        <w:ind w:firstLine="425"/>
        <w:rPr>
          <w:b/>
          <w:color w:val="4F81BD"/>
        </w:rPr>
      </w:pPr>
      <w:r>
        <w:t>If coursework is completed, continue with the field specialization course and thesis work.</w:t>
      </w:r>
    </w:p>
    <w:p w14:paraId="6F27D9B4" w14:textId="77777777" w:rsidR="00595B6E" w:rsidRDefault="00000000">
      <w:pPr>
        <w:spacing w:line="276" w:lineRule="auto"/>
        <w:ind w:firstLine="425"/>
        <w:rPr>
          <w:b/>
          <w:color w:val="4F81BD"/>
        </w:rPr>
      </w:pPr>
      <w:r>
        <w:t>Failed compulsory courses must be repeated. Failed elective courses may be replaced with other courses of equal credit value.</w:t>
      </w:r>
    </w:p>
    <w:p w14:paraId="66D7B39E" w14:textId="77777777" w:rsidR="00595B6E" w:rsidRDefault="00000000">
      <w:pPr>
        <w:spacing w:line="276" w:lineRule="auto"/>
        <w:ind w:firstLine="425"/>
        <w:rPr>
          <w:b/>
          <w:color w:val="4F81BD"/>
        </w:rPr>
      </w:pPr>
      <w:r>
        <w:t>Students who fail to complete their credit-bearing courses and seminar within four semesters are dismissed from the University.</w:t>
      </w:r>
    </w:p>
    <w:p w14:paraId="7C129D85" w14:textId="77777777" w:rsidR="00595B6E" w:rsidRDefault="00000000">
      <w:pPr>
        <w:spacing w:line="276" w:lineRule="auto"/>
        <w:ind w:firstLine="425"/>
        <w:rPr>
          <w:b/>
          <w:color w:val="4F81BD"/>
        </w:rPr>
      </w:pPr>
      <w:r>
        <w:t>Students who fail their thesis work or do not take the thesis defense examination within the maximum period are dismissed from the University.</w:t>
      </w:r>
    </w:p>
    <w:p w14:paraId="7131F172" w14:textId="77777777" w:rsidR="00595B6E" w:rsidRDefault="00000000">
      <w:pPr>
        <w:spacing w:line="276" w:lineRule="auto"/>
        <w:ind w:firstLine="425"/>
        <w:rPr>
          <w:b/>
          <w:color w:val="4F81BD"/>
        </w:rPr>
      </w:pPr>
      <w:r>
        <w:t>The duration of the Master’s with Thesis program is four semesters, regardless of whether the student registers each semester, and must be completed within a maximum of six semesters.</w:t>
      </w:r>
    </w:p>
    <w:p w14:paraId="2408A577" w14:textId="77777777" w:rsidR="00595B6E" w:rsidRDefault="00595B6E">
      <w:pPr>
        <w:spacing w:line="276" w:lineRule="auto"/>
      </w:pPr>
    </w:p>
    <w:p w14:paraId="7AC0943A" w14:textId="77777777" w:rsidR="00595B6E" w:rsidRDefault="00000000">
      <w:pPr>
        <w:spacing w:line="276" w:lineRule="auto"/>
        <w:ind w:firstLine="425"/>
        <w:jc w:val="both"/>
        <w:rPr>
          <w:b/>
          <w:color w:val="FF0000"/>
        </w:rPr>
      </w:pPr>
      <w:r>
        <w:rPr>
          <w:b/>
          <w:color w:val="FF0000"/>
        </w:rPr>
        <w:t>MASTER’S THESIS DEFENSE EXAMINATION</w:t>
      </w:r>
    </w:p>
    <w:p w14:paraId="490378A5" w14:textId="77777777" w:rsidR="00595B6E" w:rsidRDefault="00000000">
      <w:pPr>
        <w:spacing w:line="276" w:lineRule="auto"/>
        <w:ind w:firstLine="425"/>
        <w:jc w:val="both"/>
      </w:pPr>
      <w:r>
        <w:t>The thesis jury consists of three or five faculty members, including the student’s advisor and at least one member from outside the University staff.</w:t>
      </w:r>
    </w:p>
    <w:p w14:paraId="25382A49" w14:textId="77777777" w:rsidR="00595B6E" w:rsidRDefault="00595B6E">
      <w:pPr>
        <w:spacing w:line="276" w:lineRule="auto"/>
        <w:ind w:firstLine="425"/>
        <w:jc w:val="both"/>
      </w:pPr>
    </w:p>
    <w:p w14:paraId="76BAEBE9" w14:textId="77777777" w:rsidR="00595B6E" w:rsidRDefault="00000000">
      <w:pPr>
        <w:spacing w:line="276" w:lineRule="auto"/>
        <w:ind w:firstLine="425"/>
        <w:jc w:val="both"/>
      </w:pPr>
      <w:r>
        <w:t>The jury convenes within one month of receiving the thesis and conducts the thesis defense examination.</w:t>
      </w:r>
    </w:p>
    <w:p w14:paraId="7BF94F17" w14:textId="77777777" w:rsidR="00595B6E" w:rsidRDefault="00000000">
      <w:pPr>
        <w:numPr>
          <w:ilvl w:val="0"/>
          <w:numId w:val="2"/>
        </w:numPr>
        <w:spacing w:line="276" w:lineRule="auto"/>
        <w:jc w:val="both"/>
      </w:pPr>
      <w:r>
        <w:t>Students whose theses are rejected are dismissed from the University.</w:t>
      </w:r>
    </w:p>
    <w:p w14:paraId="265C1287" w14:textId="77777777" w:rsidR="00595B6E" w:rsidRDefault="00000000">
      <w:pPr>
        <w:numPr>
          <w:ilvl w:val="0"/>
          <w:numId w:val="2"/>
        </w:numPr>
        <w:spacing w:line="276" w:lineRule="auto"/>
        <w:jc w:val="both"/>
      </w:pPr>
      <w:r>
        <w:t>Students who are required to revise their theses must make the necessary corrections and re-defend within three months before the same jury.</w:t>
      </w:r>
    </w:p>
    <w:p w14:paraId="353F918C" w14:textId="77777777" w:rsidR="00595B6E" w:rsidRDefault="00595B6E">
      <w:pPr>
        <w:spacing w:line="276" w:lineRule="auto"/>
        <w:ind w:firstLine="425"/>
        <w:jc w:val="both"/>
      </w:pPr>
    </w:p>
    <w:p w14:paraId="62BF6CCB" w14:textId="77777777" w:rsidR="00595B6E" w:rsidRDefault="00000000">
      <w:pPr>
        <w:spacing w:line="276" w:lineRule="auto"/>
        <w:ind w:firstLine="425"/>
        <w:jc w:val="both"/>
      </w:pPr>
      <w:r>
        <w:t>If the thesis is accepted, the student must submit three bound copies of the thesis, the thesis data form, abstracts in both Turkish and English (recorded in PDF format on a CD), and other required graduation documents to the Institute within one month of the defense. Upon submission, the student becomes eligible to receive the Master’s diploma.</w:t>
      </w:r>
    </w:p>
    <w:p w14:paraId="64BD85C7" w14:textId="77777777" w:rsidR="00595B6E" w:rsidRDefault="00595B6E">
      <w:pPr>
        <w:spacing w:line="276" w:lineRule="auto"/>
        <w:ind w:firstLine="425"/>
        <w:jc w:val="both"/>
      </w:pPr>
    </w:p>
    <w:p w14:paraId="55C221EC" w14:textId="77777777" w:rsidR="00595B6E" w:rsidRDefault="00595B6E">
      <w:pPr>
        <w:spacing w:line="276" w:lineRule="auto"/>
        <w:ind w:firstLine="425"/>
        <w:jc w:val="both"/>
      </w:pPr>
    </w:p>
    <w:sectPr w:rsidR="00595B6E">
      <w:headerReference w:type="default" r:id="rId8"/>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181F" w14:textId="77777777" w:rsidR="00261883" w:rsidRDefault="00261883">
      <w:r>
        <w:separator/>
      </w:r>
    </w:p>
  </w:endnote>
  <w:endnote w:type="continuationSeparator" w:id="0">
    <w:p w14:paraId="77E3EE2E" w14:textId="77777777" w:rsidR="00261883" w:rsidRDefault="0026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auto"/>
    <w:pitch w:val="default"/>
  </w:font>
  <w:font w:name="Helvetica">
    <w:panose1 w:val="00000000000000000000"/>
    <w:charset w:val="00"/>
    <w:family w:val="swiss"/>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333B" w14:textId="77777777" w:rsidR="00595B6E" w:rsidRDefault="00000000">
    <w:pPr>
      <w:pBdr>
        <w:top w:val="nil"/>
        <w:left w:val="nil"/>
        <w:bottom w:val="nil"/>
        <w:right w:val="nil"/>
        <w:between w:val="nil"/>
      </w:pBdr>
      <w:tabs>
        <w:tab w:val="center" w:pos="4536"/>
        <w:tab w:val="right" w:pos="9072"/>
      </w:tabs>
      <w:jc w:val="right"/>
      <w:rPr>
        <w:color w:val="000000"/>
      </w:rPr>
    </w:pPr>
    <w:r>
      <w:t>Update date</w:t>
    </w:r>
    <w:r>
      <w:rPr>
        <w:color w:val="000000"/>
      </w:rPr>
      <w:t xml:space="preserve">: 17/08/2025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93A9" w14:textId="77777777" w:rsidR="00261883" w:rsidRDefault="00261883">
      <w:r>
        <w:separator/>
      </w:r>
    </w:p>
  </w:footnote>
  <w:footnote w:type="continuationSeparator" w:id="0">
    <w:p w14:paraId="4F0FA224" w14:textId="77777777" w:rsidR="00261883" w:rsidRDefault="0026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4BB4" w14:textId="77777777" w:rsidR="00595B6E" w:rsidRDefault="00000000">
    <w:r>
      <w:rPr>
        <w:noProof/>
      </w:rPr>
      <w:drawing>
        <wp:inline distT="0" distB="0" distL="0" distR="0" wp14:anchorId="63A9DF61" wp14:editId="06EB66FB">
          <wp:extent cx="6120000" cy="1056618"/>
          <wp:effectExtent l="0" t="0" r="0" b="0"/>
          <wp:docPr id="77885285" name="image1.png" descr="A white rectangular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white rectangular sign with black text&#10;&#10;Description automatically generated"/>
                  <pic:cNvPicPr preferRelativeResize="0"/>
                </pic:nvPicPr>
                <pic:blipFill>
                  <a:blip r:embed="rId1"/>
                  <a:srcRect/>
                  <a:stretch>
                    <a:fillRect/>
                  </a:stretch>
                </pic:blipFill>
                <pic:spPr>
                  <a:xfrm>
                    <a:off x="0" y="0"/>
                    <a:ext cx="6120000" cy="1056618"/>
                  </a:xfrm>
                  <a:prstGeom prst="rect">
                    <a:avLst/>
                  </a:prstGeom>
                  <a:ln/>
                </pic:spPr>
              </pic:pic>
            </a:graphicData>
          </a:graphic>
        </wp:inline>
      </w:drawing>
    </w:r>
  </w:p>
  <w:p w14:paraId="762719CB" w14:textId="77777777" w:rsidR="00595B6E" w:rsidRDefault="00595B6E">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A4029"/>
    <w:multiLevelType w:val="multilevel"/>
    <w:tmpl w:val="4AF03592"/>
    <w:lvl w:ilvl="0">
      <w:start w:val="1"/>
      <w:numFmt w:val="decimal"/>
      <w:lvlText w:val="%1."/>
      <w:lvlJc w:val="left"/>
      <w:pPr>
        <w:ind w:left="0" w:hanging="360"/>
      </w:pPr>
      <w:rPr>
        <w:b w:val="0"/>
        <w:color w:val="000000"/>
      </w:r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1" w15:restartNumberingAfterBreak="0">
    <w:nsid w:val="24D7155A"/>
    <w:multiLevelType w:val="multilevel"/>
    <w:tmpl w:val="926EF5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C214A19"/>
    <w:multiLevelType w:val="multilevel"/>
    <w:tmpl w:val="CF5EC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22657812">
    <w:abstractNumId w:val="0"/>
  </w:num>
  <w:num w:numId="2" w16cid:durableId="167791627">
    <w:abstractNumId w:val="2"/>
  </w:num>
  <w:num w:numId="3" w16cid:durableId="17828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E"/>
    <w:rsid w:val="00261883"/>
    <w:rsid w:val="0028533F"/>
    <w:rsid w:val="00595B6E"/>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73D6D44"/>
  <w15:docId w15:val="{294F2418-8ECE-3744-B65E-822A12C9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pPr>
    <w:rPr>
      <w:rFonts w:ascii="Helvetica" w:eastAsia="Arial Unicode MS" w:hAnsi="Arial Unicode MS" w:cs="Arial Unicode MS"/>
      <w:color w:val="000000"/>
      <w:bdr w:val="nil"/>
      <w:lang w:eastAsia="tr-TR"/>
    </w:rPr>
  </w:style>
  <w:style w:type="numbering" w:customStyle="1" w:styleId="Bullet">
    <w:name w:val="Bullet"/>
    <w:rsid w:val="00E33862"/>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7453"/>
    <w:pPr>
      <w:tabs>
        <w:tab w:val="left" w:pos="851"/>
        <w:tab w:val="left" w:pos="6521"/>
      </w:tabs>
      <w:jc w:val="both"/>
    </w:pPr>
    <w:rPr>
      <w:b/>
      <w:szCs w:val="20"/>
      <w:lang w:val="en-US"/>
    </w:rPr>
  </w:style>
  <w:style w:type="character" w:customStyle="1" w:styleId="BodyText2Char">
    <w:name w:val="Body Text 2 Char"/>
    <w:basedOn w:val="DefaultParagraphFont"/>
    <w:link w:val="BodyText2"/>
    <w:rsid w:val="00687453"/>
    <w:rPr>
      <w:rFonts w:ascii="Times New Roman" w:eastAsia="Times New Roman" w:hAnsi="Times New Roman" w:cs="Times New Roman"/>
      <w:b/>
      <w:sz w:val="24"/>
      <w:szCs w:val="20"/>
      <w:lang w:val="en-US" w:eastAsia="tr-TR"/>
    </w:rPr>
  </w:style>
  <w:style w:type="paragraph" w:styleId="ListParagraph">
    <w:name w:val="List Paragraph"/>
    <w:basedOn w:val="Normal"/>
    <w:uiPriority w:val="34"/>
    <w:qFormat/>
    <w:rsid w:val="0068745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aCJ1VfYzl7b7pcqhekquLKdUQ==">CgMxLjA4AHIhMUdyVEZLVTgwYXM2VmdJMDk5clVUTUs0Z2I3ZmhKNElV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ERDAL UZUNLAR</cp:lastModifiedBy>
  <cp:revision>2</cp:revision>
  <dcterms:created xsi:type="dcterms:W3CDTF">2025-11-11T07:52:00Z</dcterms:created>
  <dcterms:modified xsi:type="dcterms:W3CDTF">2025-11-11T07:52:00Z</dcterms:modified>
</cp:coreProperties>
</file>